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74780" w14:textId="3A3DF430" w:rsidR="00FD5B61" w:rsidRPr="00FD5B61" w:rsidRDefault="00E165D9" w:rsidP="00FD5B61">
      <w:pPr>
        <w:spacing w:after="0" w:line="240" w:lineRule="auto"/>
        <w:jc w:val="center"/>
        <w:rPr>
          <w:rFonts w:ascii="Kalpurush" w:eastAsia="Times New Roman" w:hAnsi="Kalpurush" w:cs="Kalpurush"/>
          <w:color w:val="FF0000"/>
          <w:sz w:val="28"/>
          <w:lang w:bidi="ar-SA"/>
        </w:rPr>
      </w:pPr>
      <w:r>
        <w:rPr>
          <w:rFonts w:ascii="Kalpurush" w:eastAsia="Times New Roman" w:hAnsi="Kalpurush" w:cs="Kalpurush"/>
          <w:color w:val="FF0000"/>
          <w:sz w:val="28"/>
        </w:rPr>
        <w:t>২৮.</w:t>
      </w:r>
      <w:bookmarkStart w:id="0" w:name="_GoBack"/>
      <w:bookmarkEnd w:id="0"/>
      <w:r w:rsidR="00FD5B61" w:rsidRPr="00FD5B61">
        <w:rPr>
          <w:rFonts w:ascii="Kalpurush" w:eastAsia="Times New Roman" w:hAnsi="Kalpurush" w:cs="Kalpurush"/>
          <w:color w:val="FF0000"/>
          <w:sz w:val="28"/>
          <w:cs/>
        </w:rPr>
        <w:t>সহিহ হাদিসের আলোকে তাগূতের সংজ্ঞা ও পরিচয়</w:t>
      </w:r>
    </w:p>
    <w:p w14:paraId="343EB645" w14:textId="77777777" w:rsidR="00FD5B61" w:rsidRPr="00FD5B61" w:rsidRDefault="00FD5B61" w:rsidP="00FD5B61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>কুরআন শরিফে তাগূত শব্দটি বারবার এসেছে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তাগূতের সাথে সম্পর্ক ছিন্ন করাকে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ইমানের শর্ত বলা হয়েছে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তাগূতের কাছে বিচার প্রার্থনা করাকে কুফর ও নিফাক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বলা হয়েছে। যারা তাগূতের কাছে বিচার প্রার্থনা করে তাদের ইমানের দাবীকে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মিথ্যা প্রতিপন্ন করা হয়েছে। তাগূতের পথে যুদ্ধরত ব্যক্তিদের কাফের বলা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হয়েছে। সুতরাং তাগূত শব্দের অর্থ জানার চেষ্টা করা প্রত্যেক মুমিনের নিকট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অপরিসীম গুরুত্বের দাবী রাখে।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>মূলত তাগূত একটি ব্যাপক অর্থবহ শব্দ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 xml:space="preserve">এ শব্দের ধাতুমূল হলো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طغيان</w:t>
      </w:r>
      <w:r w:rsidRPr="00FD5B61">
        <w:rPr>
          <w:rFonts w:ascii="Kalpurush" w:eastAsia="Times New Roman" w:hAnsi="Kalpurush" w:cs="Kalpurush"/>
          <w:sz w:val="28"/>
          <w:cs/>
        </w:rPr>
        <w:t xml:space="preserve"> বা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সীমালঙ্ঘন করা। সুতরাং তাগূত শব্দের অর্থ হলো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প্রত্যেক এমন জিনিষ যা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মাখলুক বা বান্দা হওয়ার সীমা অতিক্রম করে রবের আসনে অধিষ্ঠিত হয়েছে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অন্যদের খোদা সেজে বসেছে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ইমাম ইবনুল কাইয়িম রহ. বলেন</w:t>
      </w:r>
      <w:r w:rsidRPr="00FD5B61">
        <w:rPr>
          <w:rFonts w:ascii="Kalpurush" w:eastAsia="Times New Roman" w:hAnsi="Kalpurush" w:cs="Kalpurush"/>
          <w:sz w:val="28"/>
          <w:lang w:bidi="ar-SA"/>
        </w:rPr>
        <w:t>,</w:t>
      </w:r>
    </w:p>
    <w:p w14:paraId="64E33474" w14:textId="77777777" w:rsidR="00FD5B61" w:rsidRPr="00FD5B61" w:rsidRDefault="00FD5B61" w:rsidP="00FD5B61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والطاغوت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تجاوز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العبد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حده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معبود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متبوع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مطاع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lang w:bidi="ar-SA"/>
        </w:rPr>
        <w:t>(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إعلام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الموقعين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رب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العالمين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1/ 40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دار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الكتب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العلمية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Kalpurush" w:eastAsia="Times New Roman" w:hAnsi="Kalpurush" w:cs="Kalpurush" w:hint="cs"/>
          <w:sz w:val="28"/>
          <w:rtl/>
          <w:lang w:bidi="ar-SA"/>
        </w:rPr>
        <w:t>–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ييروت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الطبعة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الأولى،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1411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هـ</w:t>
      </w:r>
      <w:r w:rsidRPr="00FD5B61">
        <w:rPr>
          <w:rFonts w:ascii="Kalpurush" w:eastAsia="Times New Roman" w:hAnsi="Kalpurush" w:cs="Kalpurush"/>
          <w:sz w:val="28"/>
          <w:lang w:bidi="ar-SA"/>
        </w:rPr>
        <w:t>)</w:t>
      </w:r>
    </w:p>
    <w:p w14:paraId="7B60399A" w14:textId="77777777" w:rsidR="00FD5B61" w:rsidRPr="00FD5B61" w:rsidRDefault="00FD5B61" w:rsidP="00FD5B61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FD5B61">
        <w:rPr>
          <w:rFonts w:ascii="Kalpurush" w:eastAsia="Times New Roman" w:hAnsi="Kalpurush" w:cs="Kalpurush"/>
          <w:sz w:val="28"/>
          <w:cs/>
        </w:rPr>
        <w:t>তাগূত প্রত্যেক এমন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 xml:space="preserve">জিনিষ যার মাধ্যমে বান্দা নিজের </w:t>
      </w:r>
      <w:r w:rsidRPr="00FD5B61">
        <w:rPr>
          <w:rFonts w:ascii="Kalpurush" w:eastAsia="Times New Roman" w:hAnsi="Kalpurush" w:cs="Kalpurush"/>
          <w:sz w:val="28"/>
          <w:cs/>
        </w:rPr>
        <w:lastRenderedPageBreak/>
        <w:t>সীমালঙ্ঘন করেছে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চাই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তা উপাস্য হোক কিংবা অনুসরণীয় ব্যক্তিক্ত।” -ই’লামুল মুওয়াক্কিয়ীন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১/৪০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>সুতরাং যে মূর্তিগুলোর পূজা করা হয় সেগুলো তাগূত। কেননা ইবাদত শুধু আল্লাহ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তায়ালার প্রাপ্য। কোন সৃষ্টজীবের ইবাদত করা হলে তাকে আল্লাহর সমতুল্য গণ্য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করা হয়। একাধিক হাদিসে মূর্তিকে তাগূত বলা হয়েছে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উদাহরণ স্বরুপ দেখুন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সহিহ বুখারী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১৬৪৩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FD5B61">
        <w:rPr>
          <w:rFonts w:ascii="Kalpurush" w:eastAsia="Times New Roman" w:hAnsi="Kalpurush" w:cs="Kalpurush"/>
          <w:sz w:val="28"/>
          <w:cs/>
        </w:rPr>
        <w:t>৭১১৬ সহিহ মুসলিম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১২৭৭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FD5B61">
        <w:rPr>
          <w:rFonts w:ascii="Kalpurush" w:eastAsia="Times New Roman" w:hAnsi="Kalpurush" w:cs="Kalpurush"/>
          <w:sz w:val="28"/>
          <w:cs/>
        </w:rPr>
        <w:t>১৬৪৮ মাজমাউয যাওয়ায়েদ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৯৮৫২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>ঠিক তেমনি যে সকল শাসক আল্লাহ তায়ালার আইনের পরিবর্তে মানবরচিত আইন দ্বারা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শাসন করে তারাও তাগূত। কেননা আইন দেওয়ার অধিকার একমাত্র আল্লাহ তায়ালার।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আল্লাহ তায়ালা বলেন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358EC5A0" w14:textId="77777777" w:rsidR="00FD5B61" w:rsidRPr="00FD5B61" w:rsidRDefault="00FD5B61" w:rsidP="00FD5B61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إِنِ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الْحُكْمُ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إِلَّا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لِلَّهِ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أَمَرَ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أَلَّا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تَعْبُدُوا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إِلَّا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إِيَّاهُ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ذَلِكَ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الدِّينُ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الْقَيِّمُ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وَلَكِنَّ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أَكْثَرَ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النَّاسِ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لَا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يَعْلَمُونَ</w:t>
      </w:r>
    </w:p>
    <w:p w14:paraId="41406E8E" w14:textId="77777777" w:rsidR="00FD5B61" w:rsidRPr="00FD5B61" w:rsidRDefault="00FD5B61" w:rsidP="00FD5B61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FD5B61">
        <w:rPr>
          <w:rFonts w:ascii="Kalpurush" w:eastAsia="Times New Roman" w:hAnsi="Kalpurush" w:cs="Kalpurush"/>
          <w:sz w:val="28"/>
          <w:cs/>
        </w:rPr>
        <w:t>বিধান প্রণয়নের অধিকার আল্লাহ ছাড়া অন্য কারো নেই। তিনিই এ আদেশ দিয়েছেন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যে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তোমরা তার ভিন্ন অন্য কারোও ইবাদত করো না। এটাই সঠিক দ্বীন। কিন্ত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অধিকাংশ লোক জানে না।” -সূরা ইউসুফ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৪০</w:t>
      </w:r>
    </w:p>
    <w:p w14:paraId="5FDE18D9" w14:textId="77777777" w:rsidR="00FD5B61" w:rsidRPr="00FD5B61" w:rsidRDefault="00FD5B61" w:rsidP="00FD5B61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Kalpurush" w:eastAsia="Times New Roman" w:hAnsi="Kalpurush" w:cs="Kalpurush"/>
          <w:sz w:val="28"/>
          <w:lang w:bidi="ar-SA"/>
        </w:rPr>
        <w:t>{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وَلَا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يُشْرِكُ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حُكْمِهِ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proofErr w:type="gramStart"/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أَحَدًا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}</w:t>
      </w:r>
      <w:proofErr w:type="gramEnd"/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</w:p>
    <w:p w14:paraId="666C1FCF" w14:textId="77777777" w:rsidR="00FD5B61" w:rsidRPr="00FD5B61" w:rsidRDefault="00FD5B61" w:rsidP="00FD5B61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Kalpurush" w:eastAsia="Times New Roman" w:hAnsi="Kalpurush" w:cs="Kalpurush"/>
          <w:sz w:val="28"/>
          <w:lang w:bidi="ar-SA"/>
        </w:rPr>
        <w:lastRenderedPageBreak/>
        <w:br/>
        <w:t>“</w:t>
      </w:r>
      <w:r w:rsidRPr="00FD5B61">
        <w:rPr>
          <w:rFonts w:ascii="Kalpurush" w:eastAsia="Times New Roman" w:hAnsi="Kalpurush" w:cs="Kalpurush"/>
          <w:sz w:val="28"/>
          <w:cs/>
        </w:rPr>
        <w:t>তিনি হুকুম প্রদানের ক্ষেত্রে কাউকে শরীক করেন না।” -সূরা কাহাফ-২৬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>সুতরাং যারা নিজেদের মনগড়া আইন দ্বারা জনগণকে শাসন করে তারা এর মাধ্যমে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নিজেদেরকে রবের আসনে অধিষ্ঠিত করতে চায়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বিধান প্রদানের ক্ষেত্রে আল্লাহর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সাথে শরীক হতে চায়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তাই তারাও তাগূত।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>উপরোক্ত আলোচনা থেকে স্পষ্ট হলো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বর্তমানে যারা মানবরচিত বিধান দ্বারা দেশ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শাসন করছে তারা শুধু কাফের-মুরতাদই নয় বরং তারা হলো তাগূত ও সবচেয়ে জঘন্য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কাফের। তারা আল্লাহ তায়ালার আইন প্রণয়নের অধিকারকে নিজেদের হাতে নিয়ে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নিজেদেরকে খোদার আসনে বসিয়েছে। কিন্তু অনেকেই এ ধরণের শাসকদের তাগূত বলা তো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দূরে থাক কাফের বলেও মানতে চান না। তাই আজ আমি কিছু হাদিস পেশ করবো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যার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আলোকে তাদের ‘তাগূত’ হওয়ার বিষয়টি দিবালোকের ন্যায় স্পষ্ট হয়ে যাবে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ইনশাআল্লাহ। আর মনে রাখতে হবে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কুরআনের ব্যাখ্যার জন্য কুরআনের পরে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সর্বোত্তম উৎস হলো সহিহ হাদিস।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lastRenderedPageBreak/>
        <w:br/>
      </w:r>
      <w:r w:rsidRPr="00FD5B61">
        <w:rPr>
          <w:rFonts w:ascii="Kalpurush" w:eastAsia="Times New Roman" w:hAnsi="Kalpurush" w:cs="Kalpurush"/>
          <w:sz w:val="28"/>
          <w:cs/>
        </w:rPr>
        <w:t>প্রথম হাদিস:-</w:t>
      </w:r>
    </w:p>
    <w:p w14:paraId="5D0D4661" w14:textId="77777777" w:rsidR="00FD5B61" w:rsidRPr="00FD5B61" w:rsidRDefault="00FD5B61" w:rsidP="00FD5B61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جابر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كانت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الطواغيت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التي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يتحاكمون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إليها،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جهينة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واحد،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أسلم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واحد،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حي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واحد،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كهان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ينزل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عليهم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الشيطان»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>. (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6/45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دار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طوق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النجاة،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الطبعة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الأولى،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1422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هـ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>)</w:t>
      </w:r>
    </w:p>
    <w:p w14:paraId="6151CC94" w14:textId="77777777" w:rsidR="00FD5B61" w:rsidRPr="00FD5B61" w:rsidRDefault="00FD5B61" w:rsidP="00FD5B61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জাবের রাযি. বলেন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>, “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যে সকল তাগূতের কাছে তারা বিচারের জন্য যেত তাদের একজন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ছিল জুহাইনাহ গোত্রের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একজন আসলাম গোত্রের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এবং এভাবে প্রত্যেক গোত্রে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এক-একজন করে তাগূত ছিল। তারা ছিল গণক। তাদের নিকট জীন-শয়তান আসতো।</w:t>
      </w:r>
      <w:r w:rsidRPr="00FD5B61">
        <w:rPr>
          <w:rFonts w:ascii="Kalpurush" w:eastAsia="Times New Roman" w:hAnsi="Kalpurush" w:cs="Kalpurush"/>
          <w:sz w:val="28"/>
          <w:lang w:bidi="ar-SA"/>
        </w:rPr>
        <w:t>” -</w:t>
      </w:r>
      <w:r w:rsidRPr="00FD5B61">
        <w:rPr>
          <w:rFonts w:ascii="Kalpurush" w:eastAsia="Times New Roman" w:hAnsi="Kalpurush" w:cs="Kalpurush"/>
          <w:sz w:val="28"/>
          <w:cs/>
        </w:rPr>
        <w:t>সহিহ বুখারী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ইফা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৭/৩২৫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>নোট:- জাবের রাযি. উল্লিখিত গণকদের তাগূত আখ্যায়িত করেছেন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অথচ মানুষ এ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গণকদের পূজা করতো না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বরং শুধু তাদের নিকট নিজেদের মোকাদ্দমা পেশ করতো আর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তারা আল্লাহ তায়ালার বিধানের পরিবর্তে নিজেদের মনগড়া বিধান দ্বারা ফয়সালা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করতো।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>দ্বিতীয় হাদিস:-</w:t>
      </w:r>
    </w:p>
    <w:p w14:paraId="1A2245B3" w14:textId="77777777" w:rsidR="00FD5B61" w:rsidRPr="00FD5B61" w:rsidRDefault="00FD5B61" w:rsidP="00FD5B61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عباس،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بُردة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الأسلمي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يقضي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اليهود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فيما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يتنافرون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إليه،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فتنافر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إليه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ناس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المسلمين،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فأنزل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تعالى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-: {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أَلَمْ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تَرَ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إِلَى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الَّذِينَ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يَزْعُمُونَ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أَنَّهُمْ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آمَنُوا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بِمَا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أُنْزِلَ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إِلَيْكَ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وَمَا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أُنْزِلَ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مِنْ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قَبْلِكَ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يُرِيدُونَ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أَنْ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يَتَحَاكَمُوا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إِلَى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الطَّاغُوتِ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وَقَدْ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أُمِرُوا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أَنْ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يَكْفُرُوا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بِهِ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>} {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النساء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60}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قوله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{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إِنْ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أَرَدْنَا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إِلَّا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إِحْسَانًا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وَتَوْفِيقًا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} {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النساء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62}.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الطبراني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المعجم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الكبير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(12045)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وابن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حاتم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تفسيره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(5547)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الهيثمي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مجمع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الزوائد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(7/ 6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رقم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10934) 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رجاله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رجال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الصحيح</w:t>
      </w:r>
      <w:r w:rsidRPr="00FD5B61">
        <w:rPr>
          <w:rFonts w:ascii="Kalpurush" w:eastAsia="Times New Roman" w:hAnsi="Kalpurush" w:cs="Kalpurush"/>
          <w:sz w:val="28"/>
          <w:lang w:bidi="ar-SA"/>
        </w:rPr>
        <w:t>.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الحافظ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حجر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الإصابة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تمييز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الصحابة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(7/32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دار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الكتب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العلمية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بيروت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الطبعة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الأولى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- 1415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هـ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) 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وعند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الطبراني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بسند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جيد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عباس،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بردة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الأسلمي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كاهنا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يقضي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اليهود،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فذكر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القصة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نزول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قوله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تعالى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أَلَمْ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تَرَ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إِلَى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الَّذِينَ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يَزْعُمُونَ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أَنَّهُمْ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آمَنُوا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بِمَا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أُنْزِلَ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إِلَيْكَ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وَمَا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أُنْزِلَ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مِنْ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قَبْلِكَ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يُرِيدُونَ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أَنْ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يَتَحَاكَمُوا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إِلَى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الطَّاغُوتِ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وَقَدْ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أُمِرُوا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أَنْ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يَكْفُرُوا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بِهِ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... {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النساء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60}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الآية</w:t>
      </w:r>
      <w:r w:rsidRPr="00FD5B61">
        <w:rPr>
          <w:rFonts w:ascii="Kalpurush" w:eastAsia="Times New Roman" w:hAnsi="Kalpurush" w:cs="Kalpurush"/>
          <w:sz w:val="28"/>
          <w:lang w:bidi="ar-SA"/>
        </w:rPr>
        <w:t>.</w:t>
      </w:r>
    </w:p>
    <w:p w14:paraId="2FD8A823" w14:textId="77777777" w:rsidR="00FD5B61" w:rsidRPr="00FD5B61" w:rsidRDefault="00FD5B61" w:rsidP="00FD5B61">
      <w:pPr>
        <w:spacing w:after="36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ইবনে আব্বাস রাযি. বলেন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>, “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আবু বুরদা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আসলামী ইহুদীদের মাঝে সৃষ্ট বিবাদসমূহের মিমাংসা করতো। একবার কিছু মুসলমানও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নিজেদের বিবাদ নিরসন করতে তার নিকট বিচারপ্রার্থী হয়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তখন আল্লাহ তায়ালা এ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আয়াত অবতীর্ণ করেন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</w:p>
    <w:p w14:paraId="25B724D4" w14:textId="77777777" w:rsidR="00FD5B61" w:rsidRPr="00FD5B61" w:rsidRDefault="00FD5B61" w:rsidP="00FD5B61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أَلَمْ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تَرَ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إِلَى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الَّذِينَ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يَزْعُمُونَ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أَنَّهُمْ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آمَنُوا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بِمَا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أُنْزِلَ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إِلَيْكَ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وَمَا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أُنْزِلَ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مِنْ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قَبْلِكَ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يُرِيدُونَ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أَنْ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يَتَحَاكَمُوا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إِلَى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الطَّاغُوتِ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وَقَدْ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أُمِرُوا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أَنْ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يَكْفُرُوا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بِهِ</w:t>
      </w:r>
    </w:p>
    <w:p w14:paraId="7E0C91E2" w14:textId="77777777" w:rsidR="00FD5B61" w:rsidRPr="00FD5B61" w:rsidRDefault="00FD5B61" w:rsidP="00FD5B61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Kalpurush" w:eastAsia="Times New Roman" w:hAnsi="Kalpurush" w:cs="Kalpurush"/>
          <w:sz w:val="28"/>
          <w:lang w:bidi="ar-SA"/>
        </w:rPr>
        <w:lastRenderedPageBreak/>
        <w:br/>
        <w:t>“(</w:t>
      </w:r>
      <w:r w:rsidRPr="00FD5B61">
        <w:rPr>
          <w:rFonts w:ascii="Kalpurush" w:eastAsia="Times New Roman" w:hAnsi="Kalpurush" w:cs="Kalpurush"/>
          <w:sz w:val="28"/>
          <w:cs/>
        </w:rPr>
        <w:t>হে নবী!) তুমি কি তাদেরকে দেখনি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যারা দাবী করে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তারা তোমার প্রতি যে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কালাম নাযিল করা হয়েছে তাতেও ইমান এনেছে এবং তোমার পূর্বে যা নাযিল করা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হয়েছে তাতেও</w:t>
      </w:r>
      <w:r w:rsidRPr="00FD5B61">
        <w:rPr>
          <w:rFonts w:ascii="Kalpurush" w:eastAsia="Times New Roman" w:hAnsi="Kalpurush" w:cs="Kalpurush"/>
          <w:sz w:val="28"/>
          <w:lang w:bidi="ar-SA"/>
        </w:rPr>
        <w:t>, (</w:t>
      </w:r>
      <w:r w:rsidRPr="00FD5B61">
        <w:rPr>
          <w:rFonts w:ascii="Kalpurush" w:eastAsia="Times New Roman" w:hAnsi="Kalpurush" w:cs="Kalpurush"/>
          <w:sz w:val="28"/>
          <w:cs/>
        </w:rPr>
        <w:t>কিন্তু) তাদের অবস্থা এই যে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তারা ফায়সালার জন্য তাগূতের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কাছে নিজেদের মুকাদ্দমা নিয়ে যেতে চায়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FD5B61">
        <w:rPr>
          <w:rFonts w:ascii="Kalpurush" w:eastAsia="Times New Roman" w:hAnsi="Kalpurush" w:cs="Kalpurush"/>
          <w:sz w:val="28"/>
          <w:cs/>
        </w:rPr>
        <w:t>অথচ তাদেরকে আদেশ করা হয়েছিল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যেন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সুস্পষ্টভাবে তাকে অস্বীকার করে।”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-</w:t>
      </w:r>
      <w:r w:rsidRPr="00FD5B61">
        <w:rPr>
          <w:rFonts w:ascii="Kalpurush" w:eastAsia="Times New Roman" w:hAnsi="Kalpurush" w:cs="Kalpurush"/>
          <w:sz w:val="28"/>
          <w:cs/>
        </w:rPr>
        <w:t>সূরা নিসা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৬০ তাফসীরে ইবনে আবী হাতেম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৫৫৪৭ আলমু’জামুল কাবীর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১২০৪৫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>হাদিসের মান:- হাফেয ইবনে হাযার রহ. (মৃত্যু ৮৫২ হি.) ‘জাইয়িদ’ বলেছেন যা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সহিহ ও হাসানের মধ্যবর্তী স্তর। হাফেয নুরুদ্দীন হাইসামী রহ. (মৃত্যু ৮০৭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হি.) বলেছেন</w:t>
      </w:r>
      <w:r w:rsidRPr="00FD5B61">
        <w:rPr>
          <w:rFonts w:ascii="Kalpurush" w:eastAsia="Times New Roman" w:hAnsi="Kalpurush" w:cs="Kalpurush"/>
          <w:sz w:val="28"/>
          <w:lang w:bidi="ar-SA"/>
        </w:rPr>
        <w:t>, “</w:t>
      </w:r>
      <w:r w:rsidRPr="00FD5B61">
        <w:rPr>
          <w:rFonts w:ascii="Kalpurush" w:eastAsia="Times New Roman" w:hAnsi="Kalpurush" w:cs="Kalpurush"/>
          <w:sz w:val="28"/>
          <w:cs/>
        </w:rPr>
        <w:t>হাদিসের সব বর্ণনাকারীগণ ছিকাহ-নির্ভরযোগ্য।” –মাজমাউয যাওয়ায়েদ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হাফেয হাইসামী ৭/৬ হাদিস নং ১০৯৩৪ আলইসাবাহ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হাফেয ইবনে হাযার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৭/৩২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>নোট:- ইবনে আব্বাস রাযি. সুষ্পষ্টরুপে বলছেন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উপরোল্লিখিত আয়াতে তাগূত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দ্বারা উদ্দেশ্য হলো ইয়াহুদী আবু বুরদা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যে ইহুদীদের মাঝে সৃষ্ট বিবাদসমূহে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নিজের মনমতো বিচার করতো।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lastRenderedPageBreak/>
        <w:br/>
      </w:r>
      <w:r w:rsidRPr="00FD5B61">
        <w:rPr>
          <w:rFonts w:ascii="Kalpurush" w:eastAsia="Times New Roman" w:hAnsi="Kalpurush" w:cs="Kalpurush"/>
          <w:sz w:val="28"/>
          <w:cs/>
        </w:rPr>
        <w:t>তৃতীয় হাদিস:-</w:t>
      </w:r>
    </w:p>
    <w:p w14:paraId="43458622" w14:textId="77777777" w:rsidR="00FD5B61" w:rsidRPr="00FD5B61" w:rsidRDefault="00FD5B61" w:rsidP="00FD5B61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حدثني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محمد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المثنى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قال،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حدثنا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الوهاب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قال،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حدثنا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داود،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عامر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هذه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الآية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>:"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ألم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الذين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يزعمون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أنهم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آمنوا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بما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أنزل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إليك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وما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أنزل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قبلك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يريدون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يتحاكموا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الطاغوت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>"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رجل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اليهود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ورجل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المنافقين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خصومة،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فكان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المنافق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يدعو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اليهود،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لأنه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يعلم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أنهم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يقبلون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الرشوة،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وكان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اليهودي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يدعو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المسلمين،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لأنه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يعلم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أنهم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يقبلون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الرشوة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فاصطلحا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يتحاكما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كاهن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جُهَيْنة،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فأنزل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هذه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الآية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>:"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ألم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الذين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يزعمون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أنهم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آمنوا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بما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أنزل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إليك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"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بلغ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>"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ويسلموا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تسليمًا</w:t>
      </w:r>
      <w:r w:rsidRPr="00FD5B61">
        <w:rPr>
          <w:rFonts w:ascii="Kalpurush" w:eastAsia="Times New Roman" w:hAnsi="Kalpurush" w:cs="Kalpurush"/>
          <w:sz w:val="28"/>
          <w:lang w:bidi="ar-SA"/>
        </w:rPr>
        <w:t>". (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تفسير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الطبري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أحمد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شاكر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8/508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رقم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9891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9892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مؤسسة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الرسالة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الطبعة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الأولى،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1420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هـ</w:t>
      </w:r>
      <w:r w:rsidRPr="00FD5B61">
        <w:rPr>
          <w:rFonts w:ascii="Kalpurush" w:eastAsia="Times New Roman" w:hAnsi="Kalpurush" w:cs="Kalpurush"/>
          <w:sz w:val="28"/>
          <w:lang w:bidi="ar-SA"/>
        </w:rPr>
        <w:t>)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الحافظ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حجر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فتح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الباري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(5/37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ط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دار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الفكر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>) : (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روى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إسحاق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راهويه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تفسيره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بإسناد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الشعبي،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رجل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اليهود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ورجل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المنافقين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خصومة،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....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وروى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الطبري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بإسناد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عباس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حاكم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اليهود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يومئذ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أبا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برزة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الأسلمي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....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وروى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بإسناد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آخر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مجاهد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أنه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كعب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FD5B61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sz w:val="28"/>
          <w:rtl/>
          <w:lang w:bidi="ar-SA"/>
        </w:rPr>
        <w:t>الأشرف</w:t>
      </w:r>
      <w:r w:rsidRPr="00FD5B61">
        <w:rPr>
          <w:rFonts w:ascii="Kalpurush" w:eastAsia="Times New Roman" w:hAnsi="Kalpurush" w:cs="Kalpurush"/>
          <w:sz w:val="28"/>
          <w:lang w:bidi="ar-SA"/>
        </w:rPr>
        <w:t>)</w:t>
      </w:r>
    </w:p>
    <w:p w14:paraId="5D37AA14" w14:textId="77777777" w:rsidR="00FD5B61" w:rsidRPr="00FD5B61" w:rsidRDefault="00FD5B61" w:rsidP="00FD5B61">
      <w:pPr>
        <w:spacing w:after="360" w:line="240" w:lineRule="auto"/>
        <w:rPr>
          <w:rFonts w:ascii="Kalpurush" w:eastAsia="Times New Roman" w:hAnsi="Kalpurush" w:cs="Kalpurush"/>
          <w:color w:val="0000FF"/>
          <w:sz w:val="28"/>
          <w:lang w:bidi="ar-SA"/>
        </w:rPr>
      </w:pPr>
      <w:r w:rsidRPr="00FD5B61">
        <w:rPr>
          <w:rFonts w:ascii="Kalpurush" w:eastAsia="Times New Roman" w:hAnsi="Kalpurush" w:cs="Kalpurush"/>
          <w:sz w:val="28"/>
          <w:lang w:bidi="ar-SA"/>
        </w:rPr>
        <w:t>.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ইমাম শা’বী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রহ. বলেন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>, “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 xml:space="preserve">এক ইহুদী ও মুনাফিকের মাঝে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lastRenderedPageBreak/>
        <w:t>একটি বিষয়ে দ্বন্দ ছিল। ইহুদী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রাসূলের কাছে বিচার নিয়ে যেতে চাইলো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কারণ সে জানে রাসূল ঘুষ গ্রহণ করেন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না। কিন্তু মুনাফিক ইহুদী বিচারকদের কাছে মুকাদ্দমা পেশ করতে চাইলো। কেননা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সে জানে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ইহুদী বিচারকরা ঘুষ গ্রহণ করে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>, (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সে তাদেরকে ঘুষ দিয়ে নিজের পক্ষে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রায় নিয়ে নিবে) এরপর তারা জুহাইনাহ গোত্রের এক ব্যক্তির নিকট বিচার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প্রার্থণা করার ব্যাপারে একমত হলো। তখন পূর্বোক্ত</w:t>
      </w:r>
      <w:r w:rsidRPr="00FD5B61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FF0000"/>
          <w:sz w:val="28"/>
          <w:cs/>
        </w:rPr>
        <w:t>আয়াতটি অবতীর্ণ হয়।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-</w:t>
      </w:r>
      <w:r w:rsidRPr="00FD5B61">
        <w:rPr>
          <w:rFonts w:ascii="Kalpurush" w:eastAsia="Times New Roman" w:hAnsi="Kalpurush" w:cs="Kalpurush"/>
          <w:sz w:val="28"/>
          <w:cs/>
        </w:rPr>
        <w:t>তাফসীরে তবারী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৮/৫০৮ ফাতহুল বারী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৫/৩৭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cs/>
        </w:rPr>
        <w:t>হাদিসের মান:- হাফেয ইবনে হাযার ফাতহুল বারীতে হাদিসটির সনদকে সহিহ বলেছেন।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আর যদিও শা’বী রহ. তাবেয়ী হওয়ার কারণে হাদিসটি মুরসাল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sz w:val="28"/>
          <w:cs/>
        </w:rPr>
        <w:t>তবে হাফেয ইযলী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FD5B61">
        <w:rPr>
          <w:rFonts w:ascii="Kalpurush" w:eastAsia="Times New Roman" w:hAnsi="Kalpurush" w:cs="Kalpurush"/>
          <w:sz w:val="28"/>
          <w:cs/>
        </w:rPr>
        <w:t>মৃত্যু: ২৬১হি.) ও হাফেয যাহাবী (মৃত্যু: ৭৪৮ হি.) সহ আরো অনেক মুহাদ্দিস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cs/>
        </w:rPr>
        <w:t>শাবী রহ. এর মুরসাল হাদিসকে সহিহ বলেছেন।</w:t>
      </w:r>
      <w:r w:rsidRPr="00FD5B61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আসলে হাদিসে তাগূতের যে ব্যাখ্যা করা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হয়েছে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তা ব্যতীত উল্লিখিত আয়াতের অন্য কোন ব্যাখ্যা কিছুতেই সম্ভব নয়।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তাই সকল মুফাসসিরিন আয়াতের এ ব্যাখ্যাই করেছেন এবং এটা একেবারেই সুস্পষ্ট।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 xml:space="preserve">কিন্তু তারপরও অনেকেই মানবরচিত বিধান দ্বারা ফয়সালাকারী শাসকদের তাগূত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lastRenderedPageBreak/>
        <w:t>বলতে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নারাজ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যারা বলে তাদেরকে উগ্র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খারেজী ইত্যাদি ট্যাগ লাগিয়ে দেন। তাদের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নিকট প্রশ্ন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আপনারা আয়াতের কি ব্যাখ্যা করবেন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আপনারা কি বলবেন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আয়াতে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তাগূত দ্বারা মূর্তি উদ্দেশ্য। তারা মূর্তির কাছেই বিচার প্রার্থণা করতো!!!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এমন হাস্যকর কথা তো আজ পর্যন্ত কেউ বলেননি। না কি আপনারা বলবেন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হাসিনা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যেহেতু মানবরচিত বিধান দ্বারা ফয়লাসা করে তাই সে তাগূত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কিন্তু কাফের না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তার কুফর ছোট কুফর!!!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আসলে আপনারা কিছুই বলবেন না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আপনারা যা করেন ও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ভবিষ্যতেও করবেন তা হলো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 xml:space="preserve">বর্তমান শাসকদের কুফরীর দলিল হিসেবে শুধু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وَمَنْ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لَمْ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يَحْكُمْ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بِمَا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أَنْزَلَ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اللَّهُ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فَأُولَئِكَ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هُمُ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الْكَافِرُونَ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>(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যারা আল্লাহ তায়ালার নাযিলকৃত বিধান দ্বারা ফায়সালা করে না তারা কাফের-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সূরা মায়েদা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৪৪) এই দ্ব্যর্থবোধক আয়াতটি পেশ করবেন এবং বুঝানোর চেষ্টা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করবেন যে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উগ্র খারেজীদের (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?)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ঝুলিতে শাসকদের কুফর প্রমাণের জন্য এই একটি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আয়াতই রয়েছে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এরপর ইবনে আব্বাস ও অন্যান্য মুফাসসির বক্তব্যদের আলোকে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উক্ত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আয়াতে কুফর দ্বারা ছোট কুফর উদ্দেশ্য হওয়ার ব্যাপারে তুমুল আলোচনা করবেন।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আর এ আয়াত ছাড়াও যে শাসকদের কুফর প্রমাণের জন্য অসংখ্য দ্ব্যর্থহীন আয়াত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রয়েছে সেগুলো সযত্নে এড়িয়ে যাবেন। কিন্তু এ ধরণের অপচেষ্টা দ্বারা আমরা কি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কুরআন ছেড়ে দিচ্ছি না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 xml:space="preserve">কুরআন অনুযায়ী আমল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lastRenderedPageBreak/>
        <w:t>হতে দূরে সরে যাচ্ছি না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?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এভাবে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চলতে থাকলে তো আমাদের লাঞ্চনা-অপদস্থতা কখনো ঘুচবে না। রাসূল সাল্লাল্লাহু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আলাইহি ওয়াসাল্লাম বলেছেন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>,</w:t>
      </w:r>
    </w:p>
    <w:p w14:paraId="3B84B867" w14:textId="77777777" w:rsidR="00FD5B61" w:rsidRPr="00FD5B61" w:rsidRDefault="00FD5B61" w:rsidP="00FD5B61">
      <w:pPr>
        <w:spacing w:after="0" w:line="240" w:lineRule="auto"/>
        <w:jc w:val="center"/>
        <w:rPr>
          <w:rFonts w:ascii="Kalpurush" w:eastAsia="Times New Roman" w:hAnsi="Kalpurush" w:cs="Kalpurush"/>
          <w:color w:val="0000FF"/>
          <w:sz w:val="28"/>
          <w:lang w:bidi="ar-SA"/>
        </w:rPr>
      </w:pP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إن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الله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يرفع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بهذا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الكتاب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أقواما،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ويضع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به</w:t>
      </w:r>
      <w:r w:rsidRPr="00FD5B61">
        <w:rPr>
          <w:rFonts w:ascii="Kalpurush" w:eastAsia="Times New Roman" w:hAnsi="Kalpurush" w:cs="Kalpurush"/>
          <w:color w:val="0000FF"/>
          <w:sz w:val="28"/>
          <w:rtl/>
          <w:lang w:bidi="ar-SA"/>
        </w:rPr>
        <w:t xml:space="preserve"> </w:t>
      </w:r>
      <w:r w:rsidRPr="00FD5B61">
        <w:rPr>
          <w:rFonts w:ascii="Times New Roman" w:eastAsia="Times New Roman" w:hAnsi="Times New Roman" w:cs="Times New Roman" w:hint="cs"/>
          <w:color w:val="0000FF"/>
          <w:sz w:val="28"/>
          <w:rtl/>
          <w:lang w:bidi="ar-SA"/>
        </w:rPr>
        <w:t>آخرين</w:t>
      </w:r>
    </w:p>
    <w:p w14:paraId="24E31849" w14:textId="6DA319E9" w:rsidR="00615F7D" w:rsidRPr="00FD5B61" w:rsidRDefault="00FD5B61" w:rsidP="00FD5B61">
      <w:pPr>
        <w:spacing w:line="240" w:lineRule="auto"/>
        <w:rPr>
          <w:rFonts w:ascii="Kalpurush" w:hAnsi="Kalpurush" w:cs="Kalpurush"/>
          <w:sz w:val="28"/>
        </w:rPr>
      </w:pP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br/>
        <w:t>“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আল্লাহ তায়ালা এই কিতাবের মাধ্যমে বহু লোককে উচ্চ মর্যাদা দান করবেন এবং এরই মাধ্যমে অনেক জাতির পতন ঘটাবেন।” -সহিহ মুসলিম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৮১৭।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br/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অর্থাৎ যারা কুরআন অনুযায়ী আমল করবে তাদেরকে মর্যাদা দান করবেন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আর যারা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কুরআন মানবে না বা কুরআন অনুযায়ী আমল করবে না তাদের অপদস্থ করবেন। তাই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আসুন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হঠকারিতা পরিত্যাগ করে শাসকদের কুফরের ব্যাপারে মুজাহিদ আলেমগণ যে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আয়াতগুলো দলিল হিসেবে পেশ করেন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সেগুলো একটু ভালোভাবে অধ্যয়ন করুন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তাফসীরের কিতাব হতে সেগুলোর ব্যাখ্যা দেখুন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আয়াতগুলো নিয়ে তাদাব্বুর করুন।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এরপর ভেবে দেখুন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কাদের বক্তব্য কুরআনের বেশি নিকটবর্তী। আল্লাহ আমাদের</w:t>
      </w:r>
      <w:r w:rsidRPr="00FD5B61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FD5B61">
        <w:rPr>
          <w:rFonts w:ascii="Kalpurush" w:eastAsia="Times New Roman" w:hAnsi="Kalpurush" w:cs="Kalpurush"/>
          <w:color w:val="0000FF"/>
          <w:sz w:val="28"/>
          <w:cs/>
        </w:rPr>
        <w:t>সকলকে হক বুঝার ও মানার তাওফিক দান করুন। আমীন।</w:t>
      </w:r>
    </w:p>
    <w:sectPr w:rsidR="00615F7D" w:rsidRPr="00FD5B61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0B0418" w:rsidRDefault="000B0418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0B0418" w:rsidRDefault="000B0418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0B0418" w:rsidRDefault="000B04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0B0418" w:rsidRDefault="000B0418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4D510285" w:rsidR="000B0418" w:rsidRPr="00CA37A5" w:rsidRDefault="000B0418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165D9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4D510285" w:rsidR="000B0418" w:rsidRPr="00CA37A5" w:rsidRDefault="000B0418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E165D9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0B0418" w:rsidRDefault="000B0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0B0418" w:rsidRDefault="000B0418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0B0418" w:rsidRDefault="000B0418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0B0418" w:rsidRDefault="000B0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0B0418" w:rsidRDefault="000B04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0B0418" w:rsidRDefault="000B04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A53AF"/>
    <w:rsid w:val="000A68A1"/>
    <w:rsid w:val="000B0418"/>
    <w:rsid w:val="000C020D"/>
    <w:rsid w:val="00100FA7"/>
    <w:rsid w:val="0010173D"/>
    <w:rsid w:val="001053E7"/>
    <w:rsid w:val="001115DB"/>
    <w:rsid w:val="001207B2"/>
    <w:rsid w:val="00136930"/>
    <w:rsid w:val="00150CCA"/>
    <w:rsid w:val="00167739"/>
    <w:rsid w:val="001725BE"/>
    <w:rsid w:val="0017776D"/>
    <w:rsid w:val="001840F0"/>
    <w:rsid w:val="00185E2F"/>
    <w:rsid w:val="00187E12"/>
    <w:rsid w:val="001A1A90"/>
    <w:rsid w:val="001B08D4"/>
    <w:rsid w:val="001E468E"/>
    <w:rsid w:val="00207141"/>
    <w:rsid w:val="00214022"/>
    <w:rsid w:val="0023526F"/>
    <w:rsid w:val="00237425"/>
    <w:rsid w:val="00237E51"/>
    <w:rsid w:val="0024355E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67857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53D80"/>
    <w:rsid w:val="005701C4"/>
    <w:rsid w:val="005811AD"/>
    <w:rsid w:val="0059743F"/>
    <w:rsid w:val="005A32B0"/>
    <w:rsid w:val="005C23ED"/>
    <w:rsid w:val="005F3B62"/>
    <w:rsid w:val="005F5F9C"/>
    <w:rsid w:val="006033F3"/>
    <w:rsid w:val="006066B1"/>
    <w:rsid w:val="00610CEF"/>
    <w:rsid w:val="00615F7D"/>
    <w:rsid w:val="00662079"/>
    <w:rsid w:val="00670C9D"/>
    <w:rsid w:val="006942D8"/>
    <w:rsid w:val="006C5A7E"/>
    <w:rsid w:val="006D640B"/>
    <w:rsid w:val="006E06BA"/>
    <w:rsid w:val="006F289F"/>
    <w:rsid w:val="006F2C5B"/>
    <w:rsid w:val="00706867"/>
    <w:rsid w:val="00720562"/>
    <w:rsid w:val="00730888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6832"/>
    <w:rsid w:val="009B15D7"/>
    <w:rsid w:val="009B343C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C011A"/>
    <w:rsid w:val="00AD34FC"/>
    <w:rsid w:val="00AD3B87"/>
    <w:rsid w:val="00AD55F4"/>
    <w:rsid w:val="00AD6F1E"/>
    <w:rsid w:val="00AE24FB"/>
    <w:rsid w:val="00AE5870"/>
    <w:rsid w:val="00B22D5F"/>
    <w:rsid w:val="00B24299"/>
    <w:rsid w:val="00B25E83"/>
    <w:rsid w:val="00B40E35"/>
    <w:rsid w:val="00B41C59"/>
    <w:rsid w:val="00B47371"/>
    <w:rsid w:val="00B53CC7"/>
    <w:rsid w:val="00B76B3B"/>
    <w:rsid w:val="00B80397"/>
    <w:rsid w:val="00B83C7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D60C7"/>
    <w:rsid w:val="00DE3CB9"/>
    <w:rsid w:val="00DE7148"/>
    <w:rsid w:val="00E165D9"/>
    <w:rsid w:val="00E246E3"/>
    <w:rsid w:val="00E348FA"/>
    <w:rsid w:val="00E933AD"/>
    <w:rsid w:val="00EC69AA"/>
    <w:rsid w:val="00ED3079"/>
    <w:rsid w:val="00FD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45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077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779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202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7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1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668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2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930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2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0842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0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893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8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22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9102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1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EEA2B-A8A9-408F-9C1E-417F91438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2021-07-09T01:37:00Z</dcterms:created>
  <dcterms:modified xsi:type="dcterms:W3CDTF">2021-07-09T03:21:00Z</dcterms:modified>
</cp:coreProperties>
</file>