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67191" w14:textId="30B3251A" w:rsidR="000A0538" w:rsidRPr="000A0538" w:rsidRDefault="007E7F54" w:rsidP="000A0538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</w:rPr>
        <w:t>২৫.</w:t>
      </w:r>
      <w:bookmarkStart w:id="0" w:name="_GoBack"/>
      <w:bookmarkEnd w:id="0"/>
      <w:r w:rsidR="000A0538" w:rsidRPr="000A0538">
        <w:rPr>
          <w:rFonts w:ascii="Kalpurush" w:eastAsia="Times New Roman" w:hAnsi="Kalpurush" w:cs="Kalpurush"/>
          <w:sz w:val="28"/>
          <w:cs/>
        </w:rPr>
        <w:t>শাহাদাতের ফযীলতের ব্যাপারে একটি সংশয়ের উত্তর (একটি হাদিসের সঠিক ব্যাখ্যা)</w:t>
      </w:r>
    </w:p>
    <w:p w14:paraId="6A1FC268" w14:textId="77777777" w:rsidR="000A0538" w:rsidRPr="000A0538" w:rsidRDefault="000A0538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i/>
          <w:iCs/>
          <w:sz w:val="28"/>
          <w:lang w:bidi="ar-SA"/>
        </w:rPr>
        <w:t>(</w:t>
      </w:r>
      <w:r w:rsidRPr="000A0538">
        <w:rPr>
          <w:rFonts w:ascii="Kalpurush" w:eastAsia="Times New Roman" w:hAnsi="Kalpurush" w:cs="Kalpurush"/>
          <w:i/>
          <w:iCs/>
          <w:sz w:val="28"/>
          <w:cs/>
        </w:rPr>
        <w:t>একভাই নিম্মোক্ত হাদিসটির ব্যাখ্যা এবং হাদিসের উপর যে</w:t>
      </w:r>
      <w:r w:rsidRPr="000A0538">
        <w:rPr>
          <w:rFonts w:ascii="Kalpurush" w:eastAsia="Times New Roman" w:hAnsi="Kalpurush" w:cs="Kalpurush"/>
          <w:i/>
          <w:iCs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i/>
          <w:iCs/>
          <w:sz w:val="28"/>
          <w:cs/>
        </w:rPr>
        <w:t>ইশকাল হয় তার উত্তর জানতে চেয়েছেন। বিষয়টি গুরুত্বপূর্ণ হওয়ার কারণে আমি এর</w:t>
      </w:r>
      <w:r w:rsidRPr="000A0538">
        <w:rPr>
          <w:rFonts w:ascii="Kalpurush" w:eastAsia="Times New Roman" w:hAnsi="Kalpurush" w:cs="Kalpurush"/>
          <w:i/>
          <w:iCs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i/>
          <w:iCs/>
          <w:sz w:val="28"/>
          <w:cs/>
        </w:rPr>
        <w:t>উত্তর নতুন থ্রেডে দিচ্ছি।)</w:t>
      </w:r>
    </w:p>
    <w:p w14:paraId="5F71FE00" w14:textId="77777777" w:rsidR="000A0538" w:rsidRPr="000A0538" w:rsidRDefault="000A0538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عَنْ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عُبَيْدِ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بْنِ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خَالِدٍ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السُّلَمِيِّ،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أَنَّ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رَسُولَ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صَلَّى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وَسَلَّمَ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آخَى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رَجُلَيْنِ،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فَقُتِلَ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أَحَدُهُموَمَاتَ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الْآخَرُ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بَعْدَهُ،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فَصَلَّيْنَا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فَقَالَ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النَّبِيُّ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صَلَّى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وَسَلَّمَ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قُلْتُمْ؟»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قَالُوا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دَعَوْنَا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اغْفِرْ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لَهُ،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ارْحَمْهُ،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أَلْحِقْهُ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بِصَاحِبِهِ،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فَقَالَ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النَّبِيُّ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صَلَّى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وَسَلَّمَ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فَأَيْنَ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صَلَاتُهُ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بَعْدَ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صَلَاتِهِ؟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وَأَيْنَ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عَمَلُهُ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بَعْدَ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عَمَلِهِ؟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فَلَمَا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بَيْنَهُمَا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كَمَا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بَيْنَ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السَّمَاءِ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وَالْأَرْضِ»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(1985)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(2523)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(17921)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وابن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شيبة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(35566)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الملقن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البدر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(9/ 232) 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عوامة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مصنف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شيبة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(19/127) 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0A0538">
        <w:rPr>
          <w:rFonts w:ascii="Kalpurush" w:eastAsia="Times New Roman" w:hAnsi="Kalpurush" w:cs="Kalpurush"/>
          <w:sz w:val="28"/>
          <w:lang w:bidi="ar-SA"/>
        </w:rPr>
        <w:t>.</w:t>
      </w:r>
    </w:p>
    <w:p w14:paraId="332A2742" w14:textId="77777777" w:rsidR="000A0538" w:rsidRPr="000A0538" w:rsidRDefault="000A0538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অর্থ: উবাইদ বিন খালিদ আসসুলামী রাযি. থেকে বর্ণিত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তিনি 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>, ‘</w:t>
      </w:r>
      <w:r w:rsidRPr="000A0538">
        <w:rPr>
          <w:rFonts w:ascii="Kalpurush" w:eastAsia="Times New Roman" w:hAnsi="Kalpurush" w:cs="Kalpurush"/>
          <w:sz w:val="28"/>
          <w:cs/>
        </w:rPr>
        <w:t>রাসূল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সাল্লাল্লাহু ‘আলাইহি ওয়া সাল্লাম দুই ব্যক্তির মাঝে ভ্রাতৃত্ব স্থাপন করে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 xml:space="preserve">দিলেন। তাদের একজন (যুদ্ধে) নিহত হন এবং অন্যজন তার পরে কোন এক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জুম’আর দিন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কিংবা তার কাছাকাছি কোন দিনে মারা যান। আমরা তার জানাযা আদায় করলাম। রাসূল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সাল্লাল্লাহু ‘আলাইহি ওয়া সাল্লাম জিজ্ঞেস করলেন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তোমরা (দ্বিতীয়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ব্যক্তির জন্য) কি দু’আ করেছো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আমরা বললাম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আমরা তার জন্য দু’আ করেছি এবং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বলেছি</w:t>
      </w:r>
      <w:r w:rsidRPr="000A0538">
        <w:rPr>
          <w:rFonts w:ascii="Kalpurush" w:eastAsia="Times New Roman" w:hAnsi="Kalpurush" w:cs="Kalpurush"/>
          <w:sz w:val="28"/>
          <w:lang w:bidi="ar-SA"/>
        </w:rPr>
        <w:t>, “</w:t>
      </w:r>
      <w:r w:rsidRPr="000A0538">
        <w:rPr>
          <w:rFonts w:ascii="Kalpurush" w:eastAsia="Times New Roman" w:hAnsi="Kalpurush" w:cs="Kalpurush"/>
          <w:sz w:val="28"/>
          <w:cs/>
        </w:rPr>
        <w:t>হে আল্লাহ্! তাঁকে ক্ষমা করুন এবং তাঁকে তার সঙ্গীর সাথে মিলিত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করুন”। রাসূল সাল্লাল্লাহু আলাইহি ওয়াসাল্লাম বললেন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তাহলে প্রথম ব্যক্তির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সালাতের পর দ্বিতীয় ব্যক্তির সালাত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প্রথম ব্যক্তির সওমের পর দ্বিতীয়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ব্যক্তির সওম ও অন্যান্য আমল কোথায় যাবে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এ দুই ব্যক্তির (মর্যাদার) মধ্যে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আসমান-যমীনের ব্যবধান।’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0A0538">
        <w:rPr>
          <w:rFonts w:ascii="Kalpurush" w:eastAsia="Times New Roman" w:hAnsi="Kalpurush" w:cs="Kalpurush"/>
          <w:sz w:val="28"/>
          <w:cs/>
        </w:rPr>
        <w:t>সুনানে নাসায়ী: ১৯৮৫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সুনানে আবু দাউদ: ২৫২৩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মুসনাদে আহমদ: ১৭৯২১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মুসান্নাফ ইবনে আবী শাইবা: ৩৫৫৬৬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হাদিসের মান:- ইমাম ইবনুল মুলাক্কিন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শায়েখ আওয়ামা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শায়েখ শুয়াইব রহ. হাদিসটিকে সহিহ বলেছেন।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0A0538">
        <w:rPr>
          <w:rFonts w:ascii="Kalpurush" w:eastAsia="Times New Roman" w:hAnsi="Kalpurush" w:cs="Kalpurush"/>
          <w:sz w:val="28"/>
          <w:cs/>
        </w:rPr>
        <w:t>দেখুন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আলবদরুল মুনির: ৯/২৩২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মুসান্নাফ ইবনে আবী শাইবা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তাহকীক: শায়েখ আওয়ামা: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১৯/১২৭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সুনানে আবু দাউদ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তাহকীক: শায়েখ শুয়াইব: ৪/১৭৯)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 xml:space="preserve">ইশকালঃ- এখান থেকে বুঝে আসে শহীদি মৃত্যুর চেয়ে স্বাভাবিক মৃত্যুর ফজিলত বেশী।অনেকে এটার মাধ্যমে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দলিলও পেশ করে।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উত্তর: হাদিস থেকে যে ইশকাল সৃষ্টি হয় এটা বুঝার পূর্বে আমরা শরিয়তের একটি মূলনীতি বুঝে নিলে ভালো হবে। মূলনীতিটি হলো:-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কুরআন-সুন্নাহর কোন বক্তব্য বাহ্যিকভাবে অপর বক্তব্যের বিরোধী হয়ে গেলে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যেটা ‘মুহকাম’ বা দ্ব্যর্থহীন সেটা অনুযায়ী আমল করা হবে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আর যে বক্তব্য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‘</w:t>
      </w:r>
      <w:r w:rsidRPr="000A0538">
        <w:rPr>
          <w:rFonts w:ascii="Kalpurush" w:eastAsia="Times New Roman" w:hAnsi="Kalpurush" w:cs="Kalpurush"/>
          <w:sz w:val="28"/>
          <w:cs/>
        </w:rPr>
        <w:t>মুতাশাবিহ’ বা দ্ব্যর্থবোধক সেটাকে মুহকামের সাথে মিলিয়ে এমনভাবে ব্যাখ্যা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করা হবে যেন দুই বক্তব্যের মাঝে কোন বিরোধ না থাকে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 xml:space="preserve">পরিভাষায় একে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رَدُّ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المُتَشابِه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المُحْكَم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0A0538">
        <w:rPr>
          <w:rFonts w:ascii="Kalpurush" w:eastAsia="Times New Roman" w:hAnsi="Kalpurush" w:cs="Kalpurush"/>
          <w:sz w:val="28"/>
          <w:cs/>
        </w:rPr>
        <w:t>মুতাশাবিহকে মুহকামের দিকে ফিরানো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মুহকাম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অনুযায়ী ব্যাখ্যা করা) বলা হয়। -</w:t>
      </w:r>
      <w:r w:rsidRPr="000A0538">
        <w:rPr>
          <w:rFonts w:ascii="Kalpurush" w:eastAsia="Times New Roman" w:hAnsi="Kalpurush" w:cs="Kalpurush"/>
          <w:sz w:val="28"/>
          <w:lang w:bidi="ar-SA"/>
        </w:rPr>
        <w:t>(</w:t>
      </w:r>
      <w:r w:rsidRPr="000A0538">
        <w:rPr>
          <w:rFonts w:ascii="Kalpurush" w:eastAsia="Times New Roman" w:hAnsi="Kalpurush" w:cs="Kalpurush"/>
          <w:sz w:val="28"/>
          <w:cs/>
        </w:rPr>
        <w:t>এ মূলনীতির জন্য দেখুন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সুরা আলে ইমরান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আয়াত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আহকামুল কুরআন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ইমাম জাসসাস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2/282 </w:t>
      </w:r>
      <w:r w:rsidRPr="000A0538">
        <w:rPr>
          <w:rFonts w:ascii="Kalpurush" w:eastAsia="Times New Roman" w:hAnsi="Kalpurush" w:cs="Kalpurush"/>
          <w:sz w:val="28"/>
          <w:cs/>
        </w:rPr>
        <w:t>দারু ইহইয়াউত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 xml:space="preserve">তুরাস 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1405 </w:t>
      </w:r>
      <w:r w:rsidRPr="000A0538">
        <w:rPr>
          <w:rFonts w:ascii="Kalpurush" w:eastAsia="Times New Roman" w:hAnsi="Kalpurush" w:cs="Kalpurush"/>
          <w:sz w:val="28"/>
          <w:cs/>
        </w:rPr>
        <w:t>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তাফসীরে ইবনে কাসীর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২/৩৬৫ দারু তাইয়েবাহ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1419 </w:t>
      </w:r>
      <w:r w:rsidRPr="000A0538">
        <w:rPr>
          <w:rFonts w:ascii="Kalpurush" w:eastAsia="Times New Roman" w:hAnsi="Kalpurush" w:cs="Kalpurush"/>
          <w:sz w:val="28"/>
          <w:cs/>
        </w:rPr>
        <w:t>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বাদায়েউস সানায়ে’ ১/২১ দারুল কুতুব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১৪০৬ 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বাহরুল রায়েক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১/২৫৯ দারুল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কিতাবিল ইসলামী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ই’লামুল মুওয়াক্কিয়ীন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৪/৫৮ দারু ইবনুল জাওযী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১৪২৩ হি.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ফাতহুল বারী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ইবনে রজব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7/240 </w:t>
      </w:r>
      <w:r w:rsidRPr="000A0538">
        <w:rPr>
          <w:rFonts w:ascii="Kalpurush" w:eastAsia="Times New Roman" w:hAnsi="Kalpurush" w:cs="Kalpurush"/>
          <w:sz w:val="28"/>
          <w:cs/>
        </w:rPr>
        <w:t>মাকতাবাতুল গুরাবা আলআছারিয়্যাহ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১৪১৭ হি.)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এবার উপরোক্ত মূলনীতির আলোকে আমরা হাদিসটি ব্যাখ্যা করার চেষ্টা করবো। তো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আমরা জানি ইসলামে শাহাদাতের মর্যাদা অনেক অনেক বেশি। কুরআন-সুন্নাহয়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শাহাদাতের ফযীলতের ব্যাপারে অসংখ্য আয়াত-হাদিস এসেছে। এমনকি আমাদের নবী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 সর্বশ্রেষ্ঠ রাসূল হওয়া স্বত্বেও শাহাদাতের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আকাঙ্ক্ষা পোষণ করেছেন। সুতরাং শহিদি মৃত্যুর ফযীলত যে স্বাভাবিক মৃত্যুর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চেয়ে বেশি- এটা শরীয়তের একটি মুহকাম বিধান যাতে কোন ধরণের তাওয়ীল বা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ব্যাখ্যার সুযোগ নেই। পক্ষান্তরে আমাদের আলোচ্য হাদিসটি মুতাশাবিহ বা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দ্ব্যর্থবোধক। একে তো এ ব্যাপারে হাদিস শুধু একটিই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অধিকন্তু হাদিসটি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স্বাভাবিক মৃত্যু শহিদি মৃত্যুর চেয়ে উত্তম- এ ব্যাপারে অকাট্য প্রমাণ নয়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এতে ব্যাখ্যার সুযোগ রয়েছে। তাই উপরোক্ত মূলনীতির আলোকে হাদিসটির ব্যাখ্যা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এমনভাবে করতে হবে যেন তা শরীয়তের মুহকাম বিধানের সাথে সামঞ্জস্যপূর্ণ হয়ে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যায়। তো হাদিসটির ব্যাখ্যা কি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আল্লামা খলিল আহমদ সাহারানপুরী রহ. হাদিসটির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ব্যাখ্যায় 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>,</w:t>
      </w:r>
    </w:p>
    <w:p w14:paraId="7330DFF9" w14:textId="77777777" w:rsidR="000A0538" w:rsidRPr="000A0538" w:rsidRDefault="000A0538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يستشكل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فضيلة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بالصلاة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والصوم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والأعمال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غير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الصلاة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والصوم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القتل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>.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إشكال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فإن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بعضهم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بالصلاة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والصوم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يبلغها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الشهداء،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ترى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بكر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الصديق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بلغ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الفضل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يبلغها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الشهداء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بكمال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إخلاصه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وصدقه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فلعل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الرجل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بلغ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درجة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بإخلاصه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وصدقه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أعماله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يبلغها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شهادته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0A0538">
        <w:rPr>
          <w:rFonts w:ascii="Kalpurush" w:eastAsia="Times New Roman" w:hAnsi="Kalpurush" w:cs="Kalpurush"/>
          <w:sz w:val="28"/>
          <w:lang w:bidi="ar-SA"/>
        </w:rPr>
        <w:t>. (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بذل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المجهود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حل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9/ 86</w:t>
      </w:r>
      <w:r w:rsidRPr="000A0538">
        <w:rPr>
          <w:rFonts w:ascii="Kalpurush" w:eastAsia="Times New Roman" w:hAnsi="Kalpurush" w:cs="Kalpurush"/>
          <w:sz w:val="28"/>
          <w:lang w:bidi="ar-SA"/>
        </w:rPr>
        <w:t>(</w:t>
      </w:r>
    </w:p>
    <w:p w14:paraId="350D3ADC" w14:textId="77777777" w:rsidR="000A0538" w:rsidRPr="000A0538" w:rsidRDefault="000A0538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0A0538">
        <w:rPr>
          <w:rFonts w:ascii="Kalpurush" w:eastAsia="Times New Roman" w:hAnsi="Kalpurush" w:cs="Kalpurush"/>
          <w:sz w:val="28"/>
          <w:cs/>
        </w:rPr>
        <w:t>হাদিসের উপর আপত্তি উত্থাপিত হয়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কারণ হাদিস থেকে বুঝে আসে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দ্বিতীয়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 নামায রোযা দ্বারা শাহাদাতের শাহাদাতের চেয়েও বেশি ফযিলত অর্জন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করেছেন। আমি বলবো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হাদিসে কোন আপত্তি নেই। কেননা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কেউ কেউ নামায-রোযার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দ্বারা সেই স্তরে পৌঁছে যায় যে স্তরে শহিদরাও পৌছতে পারেন না। যেমন আবু বকর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রাযি. নিজের ইখলাস ও আল্লাহর সাথে সততা দ্বারা (শহিদ না হয়েও) সে স্তরে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পৌঁছেছেন যে স্তরে শহিদরাও পৌঁছতে পারেনি। তো হতে পারে এই দ্বিতীয় ব্যক্তি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তার নামায-রোযায় ইখলাস ও সিদকের দ্বারা সেই স্তরে পৌঁছেছেন যে স্তরে প্রথম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ব্যক্তি শহিদ হয়েও পৌঁছতে পারেননি।’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0A0538">
        <w:rPr>
          <w:rFonts w:ascii="Kalpurush" w:eastAsia="Times New Roman" w:hAnsi="Kalpurush" w:cs="Kalpurush"/>
          <w:sz w:val="28"/>
          <w:cs/>
        </w:rPr>
        <w:t>বাযলুল মাজহুদ: ৯/৮৬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তো যারা এ হাদিস দিয়ে স্বাভাবিক মৃত্যুকে শহিদি মৃত্যুর চেয়ে উত্তম বলে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দলিল পেশ করেন তারা কি বলতে পারবেন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আমাদের নামায-রোযায় সিদক ও ইখলাস এত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উচ্চ স্তরের যার দ্বারা আমরা সেই সাহাবীর মতো শাহাদাতের চেয়েও বেশি মর্যাদা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লাভ করতে পারবো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?! </w:t>
      </w:r>
      <w:r w:rsidRPr="000A0538">
        <w:rPr>
          <w:rFonts w:ascii="Kalpurush" w:eastAsia="Times New Roman" w:hAnsi="Kalpurush" w:cs="Kalpurush"/>
          <w:sz w:val="28"/>
          <w:cs/>
        </w:rPr>
        <w:t xml:space="preserve">অথচ আমাদের নামাযের কি দুরবস্থা তা তো আমরা সকলেই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জানি।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লাখো মুসল্লির মাঝে কতজন খুশু-খুযুর সাথে নামায পড়েন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তাছাড়া এই যে দ্বিতীয় সাহাবী যিনি পরে মারা গেলেন তিনি কি আমাদের মতই জিহাদ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ও শাহাদাতের প্রতি অনাগ্রহী ছিলেন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না কি তিনি শাহাদাতের সন্ধানে জিহাদের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ময়দানে ছুটে বেড়িয়েছেন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তাই হাদিসের সুসংবাদ অনুযায়ী তিনি তো শাহাদাতের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মর্যাদা লাভ করতে পারেন। কিন্তু আমরা জিহাদের জন্য কোন ধরণের প্রস্তুতি না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নিয়ে ঘরে বসে থেকে বরং জিহাদ ও শাহাদাতের প্রতি মানুষকে অনুৎসাহিত করে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কিভাবে স্বাভাবিক মৃত্যু দ্বারা তার মতো শহীদের চেয়েও উত্তম মর্যাদার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আকাঙ্ক্ষা করতে পারি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আলোচ্য হাদিসের ব্যাখ্যায় মোল্লা আলী কারী রহ. 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5797D6DF" w14:textId="77777777" w:rsidR="000A0538" w:rsidRPr="000A0538" w:rsidRDefault="000A0538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وذلك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لأنه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مرابطا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المشاركة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حكما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وطريقة،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الزيادة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الطاعة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والعبادة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شريعة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وحقيقة،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وإلا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فمن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المعلوم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عمل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أزيد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ثوابا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الشهادة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جهادا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وإظهارا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لدينه،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سيما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مبادئ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الدعوة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قلة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أعوانه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الملة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مرقاة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المفاتيح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شرح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مشكاة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المصابيح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(8/3307)</w:t>
      </w:r>
    </w:p>
    <w:p w14:paraId="771B17C1" w14:textId="77777777" w:rsidR="000A0538" w:rsidRPr="000A0538" w:rsidRDefault="000A0538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  <w:t>‘(</w:t>
      </w:r>
      <w:r w:rsidRPr="000A0538">
        <w:rPr>
          <w:rFonts w:ascii="Kalpurush" w:eastAsia="Times New Roman" w:hAnsi="Kalpurush" w:cs="Kalpurush"/>
          <w:sz w:val="28"/>
          <w:cs/>
        </w:rPr>
        <w:t>দ্বিতীয় ব্যক্তি মর্যাদায় শহিদের চেয়েও শ্রেষ্ঠ হওয়ার কারণ হলো) সেও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আল্লাহর পথে মুরাবিত ছিল। তাই সেও হুকমী শাহাদাতের মর্যাদা লাভ করেছে।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 xml:space="preserve">পাশাপাশি সে ইবাদত ও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আনুগত্যও বেশি করেছে। নতুবা এটা তো সর্বজনবিদিত যে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আল্লাহর দ্বীনকে বিজয়ী করার জন্য জিহাদে শহিদ হওয়ার তুলনায় কোনো আমলের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সওয়াব বেশি হতে পারে না। বিশেষকরে দাওয়াতের সূচনালগ্নে যখন দ্বীনের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সাহায্যকারী কম থাকে।’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0A0538">
        <w:rPr>
          <w:rFonts w:ascii="Kalpurush" w:eastAsia="Times New Roman" w:hAnsi="Kalpurush" w:cs="Kalpurush"/>
          <w:sz w:val="28"/>
          <w:cs/>
        </w:rPr>
        <w:t>মেরকাতুল মাফাতিহ: ৮/৩৩০৭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সারকথা হলো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হাদিসটি যেহেতু বাহ্যিকভাবে ইসলামের সর্বস্বীকৃত মুহকাম বিষয়ের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বিপরীত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তাই ইলমের মূলনীতি অনুযায়ী হাদিসটির ব্যাখ্যা করতে হবে। ব্যাখ্যা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একাধিক হতেই পারে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যার নিকট যে ব্যাখ্যা গ্রহণযোগ্য মনে হয় তিনি তা গ্রহণ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করবেন। কিন্তু কুরআন-সুন্নাহর অসংখ্য নুসুস দ্বারা প্রমাণিত শরিয়তের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সর্বস্বীকৃত একটি বিষয়কে এ ধরণের একটি মাত্র দ্ব্যর্থবোধক হাদিস দিয়ে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পাল্টে ফেলার চেষ্টা করা অন্তরের বক্রতারই প্রমাণ বহন করে। আল্লাহ তায়ালা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656B32C9" w14:textId="77777777" w:rsidR="000A0538" w:rsidRPr="000A0538" w:rsidRDefault="000A0538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هُوَ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أَنْزَلَ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عَلَيْكَ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الْكِتَابَ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آيَاتٌ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مُحْكَمَاتٌ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هُنَّ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أُمُّ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الْكِتَابِ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وَأُخَرُ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مُتَشَابِهَاتٌ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فَأَمَّا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زَيْغٌ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فَيَتَّبِعُونَ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تَشَابَهَ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ابْتِغَاءَ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الْفِتْنَةِ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وَابْتِغَاءَ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تَأْوِيلِهِ</w:t>
      </w:r>
    </w:p>
    <w:p w14:paraId="5C88239B" w14:textId="77777777" w:rsidR="000A0538" w:rsidRPr="000A0538" w:rsidRDefault="000A0538" w:rsidP="000A0538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  <w:t>‘(</w:t>
      </w:r>
      <w:r w:rsidRPr="000A0538">
        <w:rPr>
          <w:rFonts w:ascii="Kalpurush" w:eastAsia="Times New Roman" w:hAnsi="Kalpurush" w:cs="Kalpurush"/>
          <w:sz w:val="28"/>
          <w:cs/>
        </w:rPr>
        <w:t>হে রাসূল!) তিনিই আল্লাহ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যিনি তোমার প্রতি কিতাব নাযিল করেছেন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যার কিছু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আয়াত মুহকাম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যার উপর কিতাবের মূল ভিত্তি এবং অপর কিছু আয়াত মুতাশাবিহ।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যাদের অন্তরে বক্রতা আছে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 xml:space="preserve">তারা সেই মুতাশাবিহ আয়াতের </w:t>
      </w:r>
      <w:r w:rsidRPr="000A0538">
        <w:rPr>
          <w:rFonts w:ascii="Kalpurush" w:eastAsia="Times New Roman" w:hAnsi="Kalpurush" w:cs="Kalpurush"/>
          <w:sz w:val="28"/>
          <w:cs/>
        </w:rPr>
        <w:lastRenderedPageBreak/>
        <w:t>পেছনে পড়ে থাকে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উদ্দেশ্যে ফিতনা সৃষ্টি করা এবং সেসব আয়াতের তাবীল খোঁজা।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0A0538">
        <w:rPr>
          <w:rFonts w:ascii="Kalpurush" w:eastAsia="Times New Roman" w:hAnsi="Kalpurush" w:cs="Kalpurush"/>
          <w:sz w:val="28"/>
          <w:cs/>
        </w:rPr>
        <w:t>সূরা আলে ইমরান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আয়াত: ৭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হায়! এধরণের মুতাশাবিহ ও দ্ব্যর্থবোধক হাদিস পেশ করে উম্মাহকে জিহাদ বিমুখ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করা কি কোন আলেমের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শান হতে পারে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0A0538">
        <w:rPr>
          <w:rFonts w:ascii="Kalpurush" w:eastAsia="Times New Roman" w:hAnsi="Kalpurush" w:cs="Kalpurush"/>
          <w:sz w:val="28"/>
          <w:cs/>
        </w:rPr>
        <w:t>অথচ আলেমগণ তো সেই নবীর ওয়ারিশ যাকে আদেশ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করা হয়েছে মুমিনদের জিহাদের প্রতি উদ্বুদ্ধ করার। পক্ষান্তরে জিহাদ থেকে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বিমুখ করা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জিহাদে অনুৎসাহিত করা তো মুনাফিকদের অভ্যাস। আল্লাহ তায়ালা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বলেন</w:t>
      </w:r>
      <w:r w:rsidRPr="000A0538">
        <w:rPr>
          <w:rFonts w:ascii="Kalpurush" w:eastAsia="Times New Roman" w:hAnsi="Kalpurush" w:cs="Kalpurush"/>
          <w:sz w:val="28"/>
          <w:lang w:bidi="ar-SA"/>
        </w:rPr>
        <w:t>,</w:t>
      </w:r>
    </w:p>
    <w:p w14:paraId="6DCAE24C" w14:textId="77777777" w:rsidR="000A0538" w:rsidRPr="000A0538" w:rsidRDefault="000A0538" w:rsidP="000A0538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قَدْ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يَعْلَمُ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الْمُعَوِّقِينَ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مِنْكُمْ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وَالْقَائِلِينَ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لِإِخْوَانِهِمْ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هَلُمَّ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إِلَيْنَا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وَلَا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يَأْتُونَ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الْبَأْسَ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قَلِيلًا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(18)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أَشِحَّةً</w:t>
      </w:r>
      <w:r w:rsidRPr="000A0538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0A0538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عَلَيْكُمْ</w:t>
      </w:r>
    </w:p>
    <w:p w14:paraId="24E31849" w14:textId="1B587A84" w:rsidR="00615F7D" w:rsidRPr="000A0538" w:rsidRDefault="000A0538" w:rsidP="000A0538">
      <w:pPr>
        <w:spacing w:line="240" w:lineRule="auto"/>
        <w:rPr>
          <w:rFonts w:ascii="Kalpurush" w:hAnsi="Kalpurush" w:cs="Kalpurush"/>
          <w:sz w:val="28"/>
        </w:rPr>
      </w:pPr>
      <w:r w:rsidRPr="000A0538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0A0538">
        <w:rPr>
          <w:rFonts w:ascii="Kalpurush" w:eastAsia="Times New Roman" w:hAnsi="Kalpurush" w:cs="Kalpurush"/>
          <w:sz w:val="28"/>
          <w:cs/>
        </w:rPr>
        <w:t>আল্লাহ তাদেরকে ভালো করেই জানেন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তোমাদের মধ্যে যারা (জিহাদে) বাধা সৃষ্টি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করে এবং নিজ ভাইদেরকে বলে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0A0538">
        <w:rPr>
          <w:rFonts w:ascii="Kalpurush" w:eastAsia="Times New Roman" w:hAnsi="Kalpurush" w:cs="Kalpurush"/>
          <w:sz w:val="28"/>
          <w:cs/>
        </w:rPr>
        <w:t>আমাদের কাছে চলে এসো। আর তারা নিজেরা তো যুদ্ধে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আসেই না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0A0538">
        <w:rPr>
          <w:rFonts w:ascii="Kalpurush" w:eastAsia="Times New Roman" w:hAnsi="Kalpurush" w:cs="Kalpurush"/>
          <w:sz w:val="28"/>
          <w:cs/>
        </w:rPr>
        <w:t>আসলেও তা অতি সামান্য।(এবং তাও তোমাদের গনিমতের) প্রতি লালায়িত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0A0538">
        <w:rPr>
          <w:rFonts w:ascii="Kalpurush" w:eastAsia="Times New Roman" w:hAnsi="Kalpurush" w:cs="Kalpurush"/>
          <w:sz w:val="28"/>
          <w:cs/>
        </w:rPr>
        <w:t>হয়ে।’</w:t>
      </w:r>
      <w:r w:rsidRPr="000A0538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0A0538">
        <w:rPr>
          <w:rFonts w:ascii="Kalpurush" w:eastAsia="Times New Roman" w:hAnsi="Kalpurush" w:cs="Kalpurush"/>
          <w:sz w:val="28"/>
          <w:cs/>
        </w:rPr>
        <w:t>সূরা আহযাব: ১৮-১৯</w:t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lang w:bidi="ar-SA"/>
        </w:rPr>
        <w:br/>
      </w:r>
      <w:r w:rsidRPr="000A0538">
        <w:rPr>
          <w:rFonts w:ascii="Kalpurush" w:eastAsia="Times New Roman" w:hAnsi="Kalpurush" w:cs="Kalpurush"/>
          <w:sz w:val="28"/>
          <w:cs/>
        </w:rPr>
        <w:t>আল্লাহ তায়ালা আমাদের সঠিকভাবে কুরআন-সুন্নাহ বুঝার ও মানার তাওফিক দান করুন।</w:t>
      </w:r>
    </w:p>
    <w:sectPr w:rsidR="00615F7D" w:rsidRPr="000A0538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06DFAFA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E7F54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06DFAFA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7E7F54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0538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7E7F54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8171D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2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0FFF-BEC0-43E1-B30E-9021099E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2021-07-09T02:22:00Z</dcterms:created>
  <dcterms:modified xsi:type="dcterms:W3CDTF">2021-07-09T03:20:00Z</dcterms:modified>
</cp:coreProperties>
</file>